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809"/>
        <w:gridCol w:w="8045"/>
      </w:tblGrid>
      <w:tr w:rsidR="00BB2464" w:rsidRPr="00EB6BF7" w:rsidTr="00EB6BF7">
        <w:tc>
          <w:tcPr>
            <w:tcW w:w="1809" w:type="dxa"/>
            <w:tcBorders>
              <w:top w:val="single" w:sz="8" w:space="0" w:color="4F81BD"/>
              <w:bottom w:val="single" w:sz="8" w:space="0" w:color="4F81BD"/>
              <w:right w:val="single" w:sz="8" w:space="0" w:color="4F81BD"/>
            </w:tcBorders>
            <w:shd w:val="clear" w:color="auto" w:fill="4F81BD"/>
          </w:tcPr>
          <w:p w:rsidR="00BB2464" w:rsidRPr="00EB6BF7" w:rsidRDefault="00BB2464" w:rsidP="00EB6BF7">
            <w:pPr>
              <w:spacing w:after="0" w:line="240" w:lineRule="auto"/>
              <w:jc w:val="left"/>
              <w:rPr>
                <w:b/>
                <w:bCs/>
                <w:color w:val="FFFFFF"/>
              </w:rPr>
            </w:pPr>
            <w:r w:rsidRPr="00EB6BF7">
              <w:rPr>
                <w:b/>
                <w:bCs/>
                <w:color w:val="FFFFFF"/>
              </w:rPr>
              <w:t>GLOSSARIO</w:t>
            </w:r>
          </w:p>
        </w:tc>
        <w:tc>
          <w:tcPr>
            <w:tcW w:w="8045" w:type="dxa"/>
            <w:tcBorders>
              <w:top w:val="single" w:sz="8" w:space="0" w:color="4F81BD"/>
              <w:left w:val="single" w:sz="8" w:space="0" w:color="4F81BD"/>
              <w:bottom w:val="single" w:sz="8" w:space="0" w:color="4F81BD"/>
            </w:tcBorders>
            <w:shd w:val="clear" w:color="auto" w:fill="4F81BD"/>
          </w:tcPr>
          <w:p w:rsidR="00BB2464" w:rsidRPr="00EB6BF7" w:rsidRDefault="0014530E" w:rsidP="001104EF">
            <w:pPr>
              <w:spacing w:after="0" w:line="240" w:lineRule="auto"/>
              <w:jc w:val="right"/>
              <w:rPr>
                <w:b/>
                <w:bCs/>
                <w:color w:val="FFFFFF"/>
              </w:rPr>
            </w:pPr>
            <w:r>
              <w:rPr>
                <w:b/>
                <w:bCs/>
                <w:color w:val="FFFFFF"/>
              </w:rPr>
              <w:t>Allegato 4</w:t>
            </w:r>
            <w:bookmarkStart w:id="0" w:name="_GoBack"/>
            <w:bookmarkEnd w:id="0"/>
            <w:r w:rsidR="00BB2464">
              <w:rPr>
                <w:b/>
                <w:bCs/>
                <w:color w:val="FFFFFF"/>
              </w:rPr>
              <w:t>)</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proofErr w:type="spellStart"/>
            <w:r w:rsidRPr="00EB6BF7">
              <w:rPr>
                <w:b/>
                <w:bCs/>
              </w:rPr>
              <w:t>Fruibilita'</w:t>
            </w:r>
            <w:proofErr w:type="spellEnd"/>
            <w:r w:rsidRPr="00EB6BF7">
              <w:rPr>
                <w:b/>
                <w:bCs/>
              </w:rPr>
              <w:t xml:space="preserve"> di un dato</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 xml:space="preserve">la </w:t>
            </w:r>
            <w:proofErr w:type="spellStart"/>
            <w:r w:rsidRPr="00EB6BF7">
              <w:t>possibilita'</w:t>
            </w:r>
            <w:proofErr w:type="spellEnd"/>
            <w:r w:rsidRPr="00EB6BF7">
              <w:t xml:space="preserve"> di utilizzare il dato anche trasferendolo nei sistemi informativi automatizzati di un'altra amministrazione</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Titolare</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la persona fisica, la persona giuridica, la pubblica amministrazione e qualsiasi altro ente, associazione od organismo cui competono, anche unitamente ad altro titolare, le decisioni in ordine alle finalità, alle modalità del trattamento di dati personali e agli strumenti utilizzati, ivi compreso il profilo della sicurezza</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Responsabile</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la persona fisica, la persona giuridica, la pubblica amministrazione e qualsiasi altro ente, associazione od organismo preposti dal titolare al trattamento di dati personali.</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Interessato</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la persona fisica cui si riferiscono i dati personali.</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Dato personale</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qualunque informazione relativa a persona fisica, identificata o identificabile, anche indirettamente, mediante riferimento a qualsiasi altra informazione, ivi compreso un numero di identificazione personale.</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Trattamento</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qualunque operazione o complesso di operazioni, effettuati anche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Soggetto Fruitore</w:t>
            </w:r>
          </w:p>
        </w:tc>
        <w:tc>
          <w:tcPr>
            <w:tcW w:w="8045" w:type="dxa"/>
            <w:tcBorders>
              <w:top w:val="single" w:sz="8" w:space="0" w:color="4F81BD"/>
              <w:left w:val="single" w:sz="8" w:space="0" w:color="4F81BD"/>
              <w:bottom w:val="single" w:sz="8" w:space="0" w:color="4F81BD"/>
            </w:tcBorders>
          </w:tcPr>
          <w:p w:rsidR="00BB2464" w:rsidRDefault="00BB2464" w:rsidP="00EB6BF7">
            <w:pPr>
              <w:spacing w:after="0" w:line="360" w:lineRule="auto"/>
            </w:pPr>
            <w:r w:rsidRPr="00EB6BF7">
              <w:t xml:space="preserve">Le pubbliche amministrazioni di cui all'articolo 1, comma 2, del decreto legislativo 30 marzo 2001, n. 165, nel rispetto del riparto di competenza di cui all'articolo 117 della Costituzione, </w:t>
            </w:r>
            <w:proofErr w:type="spellStart"/>
            <w:r w:rsidRPr="00EB6BF7">
              <w:t>nonchè</w:t>
            </w:r>
            <w:proofErr w:type="spellEnd"/>
            <w:r w:rsidRPr="00EB6BF7">
              <w:t xml:space="preserve"> le società, interamente partecipate da enti pubblici o con prevalente capitale pubblico inserite nel conto economico consolidato della pubblica amministrazione, come individuate dall'Istituto nazionale di statistica (ISTAT) ai sensi dell'articolo 1, comma 5, della legge 30 dicembre 2004, n. 311, che intendono accedere al SILER.</w:t>
            </w:r>
          </w:p>
          <w:p w:rsidR="0014530E" w:rsidRPr="0014530E" w:rsidRDefault="0014530E" w:rsidP="0014530E">
            <w:pPr>
              <w:pStyle w:val="NormaleWeb"/>
              <w:spacing w:after="0"/>
              <w:rPr>
                <w:rFonts w:asciiTheme="minorHAnsi" w:hAnsiTheme="minorHAnsi"/>
                <w:sz w:val="22"/>
                <w:szCs w:val="22"/>
              </w:rPr>
            </w:pPr>
            <w:r w:rsidRPr="0014530E">
              <w:rPr>
                <w:rFonts w:asciiTheme="minorHAnsi" w:hAnsiTheme="minorHAnsi"/>
                <w:sz w:val="22"/>
                <w:szCs w:val="22"/>
              </w:rPr>
              <w:t xml:space="preserve">I </w:t>
            </w:r>
            <w:r>
              <w:rPr>
                <w:rFonts w:asciiTheme="minorHAnsi" w:hAnsiTheme="minorHAnsi" w:cs="Courier New"/>
                <w:sz w:val="22"/>
                <w:szCs w:val="22"/>
              </w:rPr>
              <w:t xml:space="preserve">gestori di servizi pubblici e </w:t>
            </w:r>
            <w:r w:rsidRPr="0014530E">
              <w:rPr>
                <w:rFonts w:asciiTheme="minorHAnsi" w:hAnsiTheme="minorHAnsi" w:cs="Courier New"/>
                <w:sz w:val="22"/>
                <w:szCs w:val="22"/>
              </w:rPr>
              <w:t>gli organismi</w:t>
            </w:r>
            <w:r w:rsidRPr="0014530E">
              <w:rPr>
                <w:rFonts w:asciiTheme="minorHAnsi" w:hAnsiTheme="minorHAnsi" w:cs="Courier New"/>
                <w:sz w:val="22"/>
                <w:szCs w:val="22"/>
              </w:rPr>
              <w:t xml:space="preserve"> </w:t>
            </w:r>
            <w:r w:rsidRPr="0014530E">
              <w:rPr>
                <w:rFonts w:asciiTheme="minorHAnsi" w:hAnsiTheme="minorHAnsi" w:cs="Courier New"/>
                <w:sz w:val="22"/>
                <w:szCs w:val="22"/>
              </w:rPr>
              <w:t>di diritto pubblico</w:t>
            </w:r>
            <w:r>
              <w:rPr>
                <w:rFonts w:asciiTheme="minorHAnsi" w:hAnsiTheme="minorHAnsi" w:cs="Courier New"/>
                <w:sz w:val="22"/>
                <w:szCs w:val="22"/>
              </w:rPr>
              <w:t>.</w:t>
            </w:r>
          </w:p>
          <w:p w:rsidR="0014530E" w:rsidRPr="00EB6BF7" w:rsidRDefault="0014530E" w:rsidP="00EB6BF7">
            <w:pPr>
              <w:spacing w:after="0" w:line="360" w:lineRule="auto"/>
            </w:pP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 xml:space="preserve"> PEC</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sistema di comunicazione in grado di attestare l'invio e l'avvenuta consegna di un messaggio di posta elettronica e di fornire ricevute opponibili ai terzi</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 xml:space="preserve">Firma digitale: </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 xml:space="preserve">un particolare tipo di firma elettronica avanzata basata su un certificato qualificato e su un sistema di chiavi crittografiche, una pubblica e una privata, correlate tra loro, che consente al titolare tramite la chiave privata e al destinatario tramite la chiave pubblica, rispettivamente, di rendere manifesta e di verificare la provenienza e </w:t>
            </w:r>
            <w:proofErr w:type="spellStart"/>
            <w:r w:rsidRPr="00EB6BF7">
              <w:lastRenderedPageBreak/>
              <w:t>l'integrita'</w:t>
            </w:r>
            <w:proofErr w:type="spellEnd"/>
            <w:r w:rsidRPr="00EB6BF7">
              <w:t xml:space="preserve"> di un documento informatico o di un insieme di documenti informatici.</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lastRenderedPageBreak/>
              <w:t xml:space="preserve">Identificazione informatica: </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la validazione dell'insieme di dati attribuiti in modo esclusivo ed univoco ad un soggetto, che ne consentono l'individuazione nei sistemi informativi, effettuata attraverso opportune tecnologie anche al fine di garantire la sicurezza dell'accesso.</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Banca di dati</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qualsiasi complesso organizzato di dati personali, ripartito in una o più unità dislocate in uno o più siti.</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Misure minime di sicurezza</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il complesso delle misure tecniche, informatiche, organizzative, logistiche e procedurali di sicurezza che configurano il livello minimo di protezione richiesto in relazione ai rischi previsti nell'articolo 31.</w:t>
            </w:r>
          </w:p>
        </w:tc>
      </w:tr>
      <w:tr w:rsidR="00BB2464" w:rsidRPr="00EB6BF7" w:rsidTr="00EB6BF7">
        <w:tc>
          <w:tcPr>
            <w:tcW w:w="1809" w:type="dxa"/>
            <w:tcBorders>
              <w:top w:val="single" w:sz="8" w:space="0" w:color="4F81BD"/>
              <w:left w:val="single" w:sz="4" w:space="0" w:color="auto"/>
              <w:bottom w:val="single" w:sz="8" w:space="0" w:color="4F81BD"/>
              <w:right w:val="single" w:sz="8" w:space="0" w:color="4F81BD"/>
            </w:tcBorders>
          </w:tcPr>
          <w:p w:rsidR="00BB2464" w:rsidRPr="00EB6BF7" w:rsidRDefault="00BB2464" w:rsidP="00EB6BF7">
            <w:pPr>
              <w:spacing w:after="0" w:line="360" w:lineRule="auto"/>
              <w:jc w:val="left"/>
              <w:rPr>
                <w:b/>
                <w:bCs/>
              </w:rPr>
            </w:pPr>
            <w:r w:rsidRPr="00EB6BF7">
              <w:rPr>
                <w:b/>
                <w:bCs/>
              </w:rPr>
              <w:t>Credenziali di autenticazione</w:t>
            </w:r>
          </w:p>
        </w:tc>
        <w:tc>
          <w:tcPr>
            <w:tcW w:w="8045" w:type="dxa"/>
            <w:tcBorders>
              <w:top w:val="single" w:sz="8" w:space="0" w:color="4F81BD"/>
              <w:left w:val="single" w:sz="8" w:space="0" w:color="4F81BD"/>
              <w:bottom w:val="single" w:sz="8" w:space="0" w:color="4F81BD"/>
            </w:tcBorders>
          </w:tcPr>
          <w:p w:rsidR="00BB2464" w:rsidRPr="00EB6BF7" w:rsidRDefault="00BB2464" w:rsidP="00EB6BF7">
            <w:pPr>
              <w:spacing w:after="0" w:line="360" w:lineRule="auto"/>
            </w:pPr>
            <w:r w:rsidRPr="00EB6BF7">
              <w:t>i dati ed i dispositivi, in possesso di una persona, da questa conosciuti o ad essa univocamente correlati, utilizzati per l'autenticazione informatica</w:t>
            </w:r>
          </w:p>
        </w:tc>
      </w:tr>
    </w:tbl>
    <w:p w:rsidR="00BB2464" w:rsidRDefault="00BB2464" w:rsidP="00781C7D"/>
    <w:sectPr w:rsidR="00BB2464" w:rsidSect="002E7E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32"/>
    <w:rsid w:val="00021FED"/>
    <w:rsid w:val="00080C1E"/>
    <w:rsid w:val="001104EF"/>
    <w:rsid w:val="0014530E"/>
    <w:rsid w:val="00200258"/>
    <w:rsid w:val="00283E8B"/>
    <w:rsid w:val="002E7EBC"/>
    <w:rsid w:val="00420A9A"/>
    <w:rsid w:val="00436BB1"/>
    <w:rsid w:val="004F6932"/>
    <w:rsid w:val="00716655"/>
    <w:rsid w:val="00781C7D"/>
    <w:rsid w:val="009205D7"/>
    <w:rsid w:val="00AB1494"/>
    <w:rsid w:val="00BA6B8A"/>
    <w:rsid w:val="00BB2464"/>
    <w:rsid w:val="00CF0196"/>
    <w:rsid w:val="00EB1594"/>
    <w:rsid w:val="00EB6BF7"/>
    <w:rsid w:val="00FD4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7EBC"/>
    <w:pPr>
      <w:spacing w:after="200" w:line="360" w:lineRule="exact"/>
      <w:jc w:val="both"/>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781C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781C7D"/>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NormaleWeb">
    <w:name w:val="Normal (Web)"/>
    <w:basedOn w:val="Normale"/>
    <w:uiPriority w:val="99"/>
    <w:semiHidden/>
    <w:unhideWhenUsed/>
    <w:rsid w:val="0014530E"/>
    <w:pPr>
      <w:spacing w:before="100" w:beforeAutospacing="1" w:after="119" w:line="240" w:lineRule="auto"/>
      <w:jc w:val="left"/>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7EBC"/>
    <w:pPr>
      <w:spacing w:after="200" w:line="360" w:lineRule="exact"/>
      <w:jc w:val="both"/>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781C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uiPriority w:val="99"/>
    <w:rsid w:val="00781C7D"/>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NormaleWeb">
    <w:name w:val="Normal (Web)"/>
    <w:basedOn w:val="Normale"/>
    <w:uiPriority w:val="99"/>
    <w:semiHidden/>
    <w:unhideWhenUsed/>
    <w:rsid w:val="0014530E"/>
    <w:pPr>
      <w:spacing w:before="100" w:beforeAutospacing="1" w:after="119" w:line="240" w:lineRule="auto"/>
      <w:jc w:val="left"/>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6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36B3DB999A764490B6FABF9F4EBCBF" ma:contentTypeVersion="0" ma:contentTypeDescription="Creare un nuovo documento." ma:contentTypeScope="" ma:versionID="9ba7f05f73175fd9270b4abada8d095d">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E2A6900-BC10-4517-A1EB-FEAB2FA4E0F4}"/>
</file>

<file path=customXml/itemProps2.xml><?xml version="1.0" encoding="utf-8"?>
<ds:datastoreItem xmlns:ds="http://schemas.openxmlformats.org/officeDocument/2006/customXml" ds:itemID="{D75F5E66-247B-4A3E-B93A-A22B7C286CD9}">
  <ds:schemaRefs>
    <ds:schemaRef ds:uri="http://schemas.microsoft.com/sharepoint/v3/contenttype/forms"/>
  </ds:schemaRefs>
</ds:datastoreItem>
</file>

<file path=customXml/itemProps3.xml><?xml version="1.0" encoding="utf-8"?>
<ds:datastoreItem xmlns:ds="http://schemas.openxmlformats.org/officeDocument/2006/customXml" ds:itemID="{2963384E-C9EC-46C2-A9CF-F55C2E0DD80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Noce</dc:creator>
  <cp:lastModifiedBy>Dazzani Donatella</cp:lastModifiedBy>
  <cp:revision>3</cp:revision>
  <dcterms:created xsi:type="dcterms:W3CDTF">2016-09-08T13:52:00Z</dcterms:created>
  <dcterms:modified xsi:type="dcterms:W3CDTF">2016-09-08T13:55:00Z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0x0101001E36B3DB999A764490B6FABF9F4EBCBF</vt:lpwstr>
  </property>
</Properties>
</file>